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Коммерческое предложение</w:t>
        <w:br/>
        <w:t>на подготовку карточек товаров</w:t>
      </w:r>
    </w:p>
    <w:p>
      <w:pPr>
        <w:keepNext w:val="0"/>
      </w:pPr>
      <w:r>
        <w:rPr>
          <w:rFonts w:ascii="Arial" w:hAnsi="Arial"/>
          <w:b/>
          <w:color w:val="000000"/>
          <w:sz w:val="20"/>
          <w:lang w:val="ru-RU"/>
        </w:rPr>
        <w:t xml:space="preserve">Учебный пример: </w:t>
      </w:r>
      <w:r>
        <w:rPr>
          <w:rFonts w:ascii="Arial" w:hAnsi="Arial"/>
          <w:color w:val="000000"/>
          <w:sz w:val="20"/>
          <w:lang w:val="ru-RU"/>
        </w:rPr>
        <w:t>Все наименования, объёмы, сроки и суммы вымышлены. Это пример заполнения, не предложение реального исполнителя и не рыночная оценка.</w:t>
      </w:r>
    </w:p>
    <w:p>
      <w:pPr>
        <w:keepNext w:val="0"/>
      </w:pPr>
      <w:r>
        <w:rPr>
          <w:rFonts w:ascii="Arial" w:hAnsi="Arial"/>
          <w:color w:val="000000"/>
          <w:sz w:val="20"/>
          <w:lang w:val="ru-RU"/>
        </w:rPr>
        <w:t>Суммы в DOCX пересчитываются вручную. Автоматических формул нет. Документ не является нормативной формой или готовым договором.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Проект: </w:t>
      </w:r>
      <w:r>
        <w:rPr>
          <w:rFonts w:ascii="Arial" w:hAnsi="Arial"/>
          <w:color w:val="000000"/>
          <w:sz w:val="22"/>
          <w:lang w:val="ru-RU"/>
        </w:rPr>
        <w:t>текстовое содержание 12 карточек товаров.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Заказчик: </w:t>
      </w:r>
      <w:r>
        <w:rPr>
          <w:rFonts w:ascii="Arial" w:hAnsi="Arial"/>
          <w:color w:val="000000"/>
          <w:sz w:val="22"/>
          <w:lang w:val="ru-RU"/>
        </w:rPr>
        <w:t>«Учебный заказчик».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Исполнитель: </w:t>
      </w:r>
      <w:r>
        <w:rPr>
          <w:rFonts w:ascii="Arial" w:hAnsi="Arial"/>
          <w:color w:val="000000"/>
          <w:sz w:val="22"/>
          <w:lang w:val="ru-RU"/>
        </w:rPr>
        <w:t>«Учебный исполнитель».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Версия: </w:t>
      </w:r>
      <w:r>
        <w:rPr>
          <w:rFonts w:ascii="Arial" w:hAnsi="Arial"/>
          <w:color w:val="000000"/>
          <w:sz w:val="22"/>
          <w:lang w:val="ru-RU"/>
        </w:rPr>
        <w:t>EX-01.    Дата: 28.09.2026.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Срок действительности: </w:t>
      </w:r>
      <w:r>
        <w:rPr>
          <w:rFonts w:ascii="Arial" w:hAnsi="Arial"/>
          <w:color w:val="000000"/>
          <w:sz w:val="22"/>
          <w:lang w:val="ru-RU"/>
        </w:rPr>
        <w:t>в учебном примере не установлен.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Основание: </w:t>
      </w:r>
      <w:r>
        <w:rPr>
          <w:rFonts w:ascii="Arial" w:hAnsi="Arial"/>
          <w:color w:val="000000"/>
          <w:sz w:val="22"/>
          <w:lang w:val="ru-RU"/>
        </w:rPr>
        <w:t>вымышленный перечень товаров EX-TZ-01, версия 1.</w:t>
      </w:r>
    </w:p>
    <w:p>
      <w:pPr>
        <w:pStyle w:val="Heading1"/>
        <w:pageBreakBefore w:val="0"/>
      </w:pPr>
      <w:r>
        <w:t>1 Результат и границы</w:t>
      </w:r>
    </w:p>
    <w:p>
      <w:pPr>
        <w:keepNext w:val="0"/>
      </w:pPr>
      <w:r>
        <w:rPr>
          <w:rFonts w:ascii="Arial" w:hAnsi="Arial"/>
          <w:color w:val="000000"/>
          <w:sz w:val="22"/>
          <w:lang w:val="ru-RU"/>
        </w:rPr>
        <w:t>Передаются 12 карточек товаров с идентификаторами EX-001—EX-012. Для каждой: название, характеристики из исходной таблицы, описание и единица продажи.</w:t>
      </w:r>
    </w:p>
    <w:p>
      <w:pPr>
        <w:keepNext w:val="0"/>
      </w:pPr>
      <w:r>
        <w:rPr>
          <w:rFonts w:ascii="Arial" w:hAnsi="Arial"/>
          <w:color w:val="000000"/>
          <w:sz w:val="22"/>
          <w:lang w:val="ru-RU"/>
        </w:rPr>
        <w:t>Один и тот же набор передаётся в XLSX и DOCX. Это два формата представления 12 карточек, а не 24 отдельные карточки.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Включено: </w:t>
      </w:r>
      <w:r>
        <w:rPr>
          <w:rFonts w:ascii="Arial" w:hAnsi="Arial"/>
          <w:color w:val="000000"/>
          <w:sz w:val="22"/>
          <w:lang w:val="ru-RU"/>
        </w:rPr>
        <w:t>подготовка содержания, пилотная и основная партии, проверка соответствия согласованной структуре.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Не включено: </w:t>
      </w:r>
      <w:r>
        <w:rPr>
          <w:rFonts w:ascii="Arial" w:hAnsi="Arial"/>
          <w:color w:val="000000"/>
          <w:sz w:val="22"/>
          <w:lang w:val="ru-RU"/>
        </w:rPr>
        <w:t>фотографии, дизайн, загрузка на сайт, перевод и рекламное продвижение.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Заказчик предоставляет: </w:t>
      </w:r>
      <w:r>
        <w:rPr>
          <w:rFonts w:ascii="Arial" w:hAnsi="Arial"/>
          <w:color w:val="000000"/>
          <w:sz w:val="22"/>
          <w:lang w:val="ru-RU"/>
        </w:rPr>
        <w:t>перечень товаров, подтверждённые характеристики и образец желаемого оформления.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Неопределённые условия: </w:t>
      </w:r>
      <w:r>
        <w:rPr>
          <w:rFonts w:ascii="Arial" w:hAnsi="Arial"/>
          <w:color w:val="000000"/>
          <w:sz w:val="22"/>
          <w:lang w:val="ru-RU"/>
        </w:rPr>
        <w:t>отсутствуют в пределах этой учебной модели.</w:t>
      </w:r>
    </w:p>
    <w:p>
      <w:pPr>
        <w:pStyle w:val="Heading1"/>
        <w:pageBreakBefore/>
      </w:pPr>
      <w:r>
        <w:t>2 Стоимость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0" w:type="dxa"/>
          <w:right w:w="100" w:type="dxa"/>
        </w:tblCellMar>
      </w:tblPr>
      <w:tblGrid>
        <w:gridCol w:w="3413"/>
        <w:gridCol w:w="1454"/>
        <w:gridCol w:w="1469"/>
        <w:gridCol w:w="1757"/>
        <w:gridCol w:w="2074"/>
      </w:tblGrid>
      <w:tr>
        <w:trPr>
          <w:cantSplit/>
          <w:tblHeader w:val="true"/>
        </w:trPr>
        <w:tc>
          <w:tcPr>
            <w:tcW w:type="dxa" w:w="3413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Позиция</w:t>
            </w:r>
          </w:p>
        </w:tc>
        <w:tc>
          <w:tcPr>
            <w:tcW w:type="dxa" w:w="1454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Единица</w:t>
            </w:r>
          </w:p>
        </w:tc>
        <w:tc>
          <w:tcPr>
            <w:tcW w:type="dxa" w:w="1469"/>
            <w:vAlign w:val="center"/>
            <w:shd w:fill="E8EBEE"/>
          </w:tcPr>
          <w:p>
            <w:pPr>
              <w:keepNext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Количество</w:t>
            </w:r>
          </w:p>
        </w:tc>
        <w:tc>
          <w:tcPr>
            <w:tcW w:type="dxa" w:w="1757"/>
            <w:vAlign w:val="center"/>
            <w:shd w:fill="E8EBEE"/>
          </w:tcPr>
          <w:p>
            <w:pPr>
              <w:keepNext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Цена ₽</w:t>
            </w:r>
          </w:p>
        </w:tc>
        <w:tc>
          <w:tcPr>
            <w:tcW w:type="dxa" w:w="2074"/>
            <w:vAlign w:val="center"/>
            <w:shd w:fill="E8EBEE"/>
          </w:tcPr>
          <w:p>
            <w:pPr>
              <w:keepNext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Сумма ₽</w:t>
            </w:r>
          </w:p>
        </w:tc>
      </w:tr>
      <w:tr>
        <w:trPr>
          <w:cantSplit/>
        </w:trPr>
        <w:tc>
          <w:tcPr>
            <w:tcW w:type="dxa" w:w="3413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Пилотная партия</w:t>
            </w:r>
          </w:p>
        </w:tc>
        <w:tc>
          <w:tcPr>
            <w:tcW w:type="dxa" w:w="1454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карточка</w:t>
            </w:r>
          </w:p>
        </w:tc>
        <w:tc>
          <w:tcPr>
            <w:tcW w:type="dxa" w:w="1469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2</w:t>
            </w:r>
          </w:p>
        </w:tc>
        <w:tc>
          <w:tcPr>
            <w:tcW w:type="dxa" w:w="1757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1 500</w:t>
            </w:r>
          </w:p>
        </w:tc>
        <w:tc>
          <w:tcPr>
            <w:tcW w:type="dxa" w:w="2074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3 000</w:t>
            </w:r>
          </w:p>
        </w:tc>
      </w:tr>
      <w:tr>
        <w:trPr>
          <w:cantSplit/>
        </w:trPr>
        <w:tc>
          <w:tcPr>
            <w:tcW w:type="dxa" w:w="3413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Основная партия</w:t>
            </w:r>
          </w:p>
        </w:tc>
        <w:tc>
          <w:tcPr>
            <w:tcW w:type="dxa" w:w="1454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карточка</w:t>
            </w:r>
          </w:p>
        </w:tc>
        <w:tc>
          <w:tcPr>
            <w:tcW w:type="dxa" w:w="1469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10</w:t>
            </w:r>
          </w:p>
        </w:tc>
        <w:tc>
          <w:tcPr>
            <w:tcW w:type="dxa" w:w="1757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1 500</w:t>
            </w:r>
          </w:p>
        </w:tc>
        <w:tc>
          <w:tcPr>
            <w:tcW w:type="dxa" w:w="2074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15 000</w:t>
            </w:r>
          </w:p>
        </w:tc>
      </w:tr>
      <w:tr>
        <w:trPr>
          <w:cantSplit/>
        </w:trPr>
        <w:tc>
          <w:tcPr>
            <w:tcW w:type="dxa" w:w="3413"/>
            <w:vAlign w:val="center"/>
            <w:shd w:fill="F5F6F4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Итого</w:t>
            </w:r>
          </w:p>
        </w:tc>
        <w:tc>
          <w:tcPr>
            <w:tcW w:type="dxa" w:w="1454"/>
            <w:vAlign w:val="center"/>
            <w:shd w:fill="F5F6F4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</w:r>
          </w:p>
        </w:tc>
        <w:tc>
          <w:tcPr>
            <w:tcW w:type="dxa" w:w="1469"/>
            <w:vAlign w:val="center"/>
            <w:shd w:fill="F5F6F4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12</w:t>
            </w:r>
          </w:p>
        </w:tc>
        <w:tc>
          <w:tcPr>
            <w:tcW w:type="dxa" w:w="1757"/>
            <w:vAlign w:val="center"/>
            <w:shd w:fill="F5F6F4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</w:r>
          </w:p>
        </w:tc>
        <w:tc>
          <w:tcPr>
            <w:tcW w:type="dxa" w:w="2074"/>
            <w:vAlign w:val="center"/>
            <w:shd w:fill="F5F6F4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18 000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color w:val="000000"/>
          <w:sz w:val="6"/>
          <w:lang w:val="ru-RU"/>
        </w:rPr>
      </w:r>
    </w:p>
    <w:p>
      <w:pPr>
        <w:keepNext w:val="0"/>
      </w:pPr>
      <w:r>
        <w:rPr>
          <w:rFonts w:ascii="Arial" w:hAnsi="Arial"/>
          <w:color w:val="000000"/>
          <w:sz w:val="20"/>
          <w:lang w:val="ru-RU"/>
        </w:rPr>
        <w:t>Две пилотные карточки входят в общий объём.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Налоги и начисления: </w:t>
      </w:r>
      <w:r>
        <w:rPr>
          <w:rFonts w:ascii="Arial" w:hAnsi="Arial"/>
          <w:color w:val="000000"/>
          <w:sz w:val="22"/>
          <w:lang w:val="ru-RU"/>
        </w:rPr>
        <w:t>18 000 ₽ — сумма всех начислений по указанному составу. Дополнительных начислений поверх неё нет. Реальный налоговый режим не определяется.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Отдельные расходы и регулярные платежи: </w:t>
      </w:r>
      <w:r>
        <w:rPr>
          <w:rFonts w:ascii="Arial" w:hAnsi="Arial"/>
          <w:color w:val="000000"/>
          <w:sz w:val="22"/>
          <w:lang w:val="ru-RU"/>
        </w:rPr>
        <w:t>в пределах учебного предложения отсутствуют. Исключённые услуги не оценивались.</w:t>
      </w:r>
    </w:p>
    <w:p>
      <w:pPr>
        <w:pStyle w:val="Heading1"/>
        <w:pageBreakBefore w:val="0"/>
      </w:pPr>
      <w:r>
        <w:t>3 Этапы и сроки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0" w:type="dxa"/>
          <w:right w:w="100" w:type="dxa"/>
        </w:tblCellMar>
      </w:tblPr>
      <w:tblGrid>
        <w:gridCol w:w="1670"/>
        <w:gridCol w:w="2347"/>
        <w:gridCol w:w="4147"/>
        <w:gridCol w:w="2002"/>
      </w:tblGrid>
      <w:tr>
        <w:trPr>
          <w:cantSplit/>
          <w:tblHeader w:val="true"/>
        </w:trPr>
        <w:tc>
          <w:tcPr>
            <w:tcW w:type="dxa" w:w="1670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Этап</w:t>
            </w:r>
          </w:p>
        </w:tc>
        <w:tc>
          <w:tcPr>
            <w:tcW w:type="dxa" w:w="2347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Результат</w:t>
            </w:r>
          </w:p>
        </w:tc>
        <w:tc>
          <w:tcPr>
            <w:tcW w:type="dxa" w:w="4147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Событие начала</w:t>
            </w:r>
          </w:p>
        </w:tc>
        <w:tc>
          <w:tcPr>
            <w:tcW w:type="dxa" w:w="2002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Срок</w:t>
            </w:r>
          </w:p>
        </w:tc>
      </w:tr>
      <w:tr>
        <w:trPr>
          <w:cantSplit/>
        </w:trPr>
        <w:tc>
          <w:tcPr>
            <w:tcW w:type="dxa" w:w="1670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Пилот</w:t>
            </w:r>
          </w:p>
        </w:tc>
        <w:tc>
          <w:tcPr>
            <w:tcW w:type="dxa" w:w="2347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EX-001 и EX-002</w:t>
            </w:r>
          </w:p>
        </w:tc>
        <w:tc>
          <w:tcPr>
            <w:tcW w:type="dxa" w:w="4147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Получены все исходные данные и стартовый платёж</w:t>
            </w:r>
          </w:p>
        </w:tc>
        <w:tc>
          <w:tcPr>
            <w:tcW w:type="dxa" w:w="2002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2 рабочих дня</w:t>
            </w:r>
          </w:p>
        </w:tc>
      </w:tr>
      <w:tr>
        <w:trPr>
          <w:cantSplit/>
        </w:trPr>
        <w:tc>
          <w:tcPr>
            <w:tcW w:type="dxa" w:w="1670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Основная партия</w:t>
            </w:r>
          </w:p>
        </w:tc>
        <w:tc>
          <w:tcPr>
            <w:tcW w:type="dxa" w:w="2347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EX-003—EX-012</w:t>
            </w:r>
          </w:p>
        </w:tc>
        <w:tc>
          <w:tcPr>
            <w:tcW w:type="dxa" w:w="4147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Письменно одобрен пилот</w:t>
            </w:r>
          </w:p>
        </w:tc>
        <w:tc>
          <w:tcPr>
            <w:tcW w:type="dxa" w:w="2002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4 рабочих дня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color w:val="000000"/>
          <w:sz w:val="6"/>
          <w:lang w:val="ru-RU"/>
        </w:rPr>
      </w:r>
    </w:p>
    <w:p>
      <w:pPr>
        <w:keepNext w:val="0"/>
      </w:pPr>
      <w:r>
        <w:rPr>
          <w:rFonts w:ascii="Arial" w:hAnsi="Arial"/>
          <w:color w:val="000000"/>
          <w:sz w:val="22"/>
          <w:lang w:val="ru-RU"/>
        </w:rPr>
        <w:t>Ожидание обратной связи не включено в продолжительность этапов. После обратной связи стороны подтверждают актуальные даты.</w:t>
      </w:r>
    </w:p>
    <w:p>
      <w:pPr>
        <w:pStyle w:val="Heading1"/>
        <w:pageBreakBefore w:val="0"/>
      </w:pPr>
      <w:r>
        <w:t>4 Оплата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0" w:type="dxa"/>
          <w:right w:w="100" w:type="dxa"/>
        </w:tblCellMar>
      </w:tblPr>
      <w:tblGrid>
        <w:gridCol w:w="1843"/>
        <w:gridCol w:w="5256"/>
        <w:gridCol w:w="1051"/>
        <w:gridCol w:w="2016"/>
      </w:tblGrid>
      <w:tr>
        <w:trPr>
          <w:cantSplit/>
          <w:tblHeader w:val="true"/>
        </w:trPr>
        <w:tc>
          <w:tcPr>
            <w:tcW w:type="dxa" w:w="1843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Платёж</w:t>
            </w:r>
          </w:p>
        </w:tc>
        <w:tc>
          <w:tcPr>
            <w:tcW w:type="dxa" w:w="5256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Событие</w:t>
            </w:r>
          </w:p>
        </w:tc>
        <w:tc>
          <w:tcPr>
            <w:tcW w:type="dxa" w:w="1051"/>
            <w:vAlign w:val="center"/>
            <w:shd w:fill="E8EBEE"/>
          </w:tcPr>
          <w:p>
            <w:pPr>
              <w:keepNext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Доля</w:t>
            </w:r>
          </w:p>
        </w:tc>
        <w:tc>
          <w:tcPr>
            <w:tcW w:type="dxa" w:w="2016"/>
            <w:vAlign w:val="center"/>
            <w:shd w:fill="E8EBEE"/>
          </w:tcPr>
          <w:p>
            <w:pPr>
              <w:keepNext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Сумма ₽</w:t>
            </w:r>
          </w:p>
        </w:tc>
      </w:tr>
      <w:tr>
        <w:trPr>
          <w:cantSplit/>
        </w:trPr>
        <w:tc>
          <w:tcPr>
            <w:tcW w:type="dxa" w:w="1843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Стартовый</w:t>
            </w:r>
          </w:p>
        </w:tc>
        <w:tc>
          <w:tcPr>
            <w:tcW w:type="dxa" w:w="525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После подтверждения состава, до начала пилота</w:t>
            </w:r>
          </w:p>
        </w:tc>
        <w:tc>
          <w:tcPr>
            <w:tcW w:type="dxa" w:w="1051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30%</w:t>
            </w:r>
          </w:p>
        </w:tc>
        <w:tc>
          <w:tcPr>
            <w:tcW w:type="dxa" w:w="2016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5 400</w:t>
            </w:r>
          </w:p>
        </w:tc>
      </w:tr>
      <w:tr>
        <w:trPr>
          <w:cantSplit/>
        </w:trPr>
        <w:tc>
          <w:tcPr>
            <w:tcW w:type="dxa" w:w="1843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Завершающий</w:t>
            </w:r>
          </w:p>
        </w:tc>
        <w:tc>
          <w:tcPr>
            <w:tcW w:type="dxa" w:w="525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После подтверждения соответствия всех 12 карточек</w:t>
            </w:r>
          </w:p>
        </w:tc>
        <w:tc>
          <w:tcPr>
            <w:tcW w:type="dxa" w:w="1051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70%</w:t>
            </w:r>
          </w:p>
        </w:tc>
        <w:tc>
          <w:tcPr>
            <w:tcW w:type="dxa" w:w="2016"/>
            <w:vAlign w:val="center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12 600</w:t>
            </w:r>
          </w:p>
        </w:tc>
      </w:tr>
      <w:tr>
        <w:trPr>
          <w:cantSplit/>
        </w:trPr>
        <w:tc>
          <w:tcPr>
            <w:tcW w:type="dxa" w:w="1843"/>
            <w:vAlign w:val="center"/>
            <w:shd w:fill="F5F6F4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Всего</w:t>
            </w:r>
          </w:p>
        </w:tc>
        <w:tc>
          <w:tcPr>
            <w:tcW w:type="dxa" w:w="5256"/>
            <w:vAlign w:val="center"/>
            <w:shd w:fill="F5F6F4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</w:r>
          </w:p>
        </w:tc>
        <w:tc>
          <w:tcPr>
            <w:tcW w:type="dxa" w:w="1051"/>
            <w:vAlign w:val="center"/>
            <w:shd w:fill="F5F6F4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100%</w:t>
            </w:r>
          </w:p>
        </w:tc>
        <w:tc>
          <w:tcPr>
            <w:tcW w:type="dxa" w:w="2016"/>
            <w:vAlign w:val="center"/>
            <w:shd w:fill="F5F6F4"/>
          </w:tcPr>
          <w:p>
            <w:pPr>
              <w:keepNext w:val="0"/>
              <w:spacing w:after="0" w:before="0" w:line="254" w:lineRule="auto"/>
              <w:jc w:val="right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18 000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color w:val="000000"/>
          <w:sz w:val="6"/>
          <w:lang w:val="ru-RU"/>
        </w:rPr>
      </w:r>
    </w:p>
    <w:p>
      <w:pPr>
        <w:keepNext w:val="0"/>
      </w:pPr>
      <w:r>
        <w:rPr>
          <w:rFonts w:ascii="Arial" w:hAnsi="Arial"/>
          <w:b/>
          <w:color w:val="000000"/>
          <w:sz w:val="20"/>
          <w:lang w:val="ru-RU"/>
        </w:rPr>
        <w:t xml:space="preserve">Контроль: </w:t>
      </w:r>
      <w:r>
        <w:rPr>
          <w:rFonts w:ascii="Arial" w:hAnsi="Arial"/>
          <w:color w:val="000000"/>
          <w:sz w:val="20"/>
          <w:lang w:val="ru-RU"/>
        </w:rPr>
        <w:t>18 000 × 30% = 5 400 ₽; 18 000 × 70% = 12 600 ₽. Сумма платежей 18 000 ₽ соответствует стоимости состава. Платежи повторно к цене не прибавляются.</w:t>
      </w:r>
    </w:p>
    <w:p>
      <w:pPr>
        <w:pStyle w:val="Heading1"/>
        <w:pageBreakBefore/>
      </w:pPr>
      <w:r>
        <w:t>5 Проверка и приёмка</w:t>
      </w:r>
    </w:p>
    <w:p>
      <w:pPr>
        <w:keepNext w:val="0"/>
      </w:pPr>
      <w:r>
        <w:rPr>
          <w:rFonts w:ascii="Arial" w:hAnsi="Arial"/>
          <w:color w:val="000000"/>
          <w:sz w:val="22"/>
          <w:lang w:val="ru-RU"/>
        </w:rPr>
        <w:t>При передаче каждого этапа заказчик проверяет результат по следующим критериям.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0" w:type="dxa"/>
          <w:right w:w="100" w:type="dxa"/>
        </w:tblCellMar>
      </w:tblPr>
      <w:tblGrid>
        <w:gridCol w:w="2160"/>
        <w:gridCol w:w="8006"/>
      </w:tblGrid>
      <w:tr>
        <w:trPr>
          <w:cantSplit/>
          <w:tblHeader w:val="true"/>
        </w:trPr>
        <w:tc>
          <w:tcPr>
            <w:tcW w:type="dxa" w:w="2160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Что проверяется</w:t>
            </w:r>
          </w:p>
        </w:tc>
        <w:tc>
          <w:tcPr>
            <w:tcW w:type="dxa" w:w="8006"/>
            <w:vAlign w:val="center"/>
            <w:shd w:fill="E8EBEE"/>
          </w:tcPr>
          <w:p>
            <w:pPr>
              <w:keepNext/>
              <w:spacing w:after="0" w:before="0" w:line="254" w:lineRule="auto"/>
            </w:pPr>
            <w:r>
              <w:rPr>
                <w:rFonts w:ascii="Arial" w:hAnsi="Arial"/>
                <w:b/>
                <w:color w:val="000000"/>
                <w:sz w:val="20"/>
                <w:lang w:val="ru-RU"/>
              </w:rPr>
              <w:t>Критерий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Состав</w:t>
            </w:r>
          </w:p>
        </w:tc>
        <w:tc>
          <w:tcPr>
            <w:tcW w:type="dxa" w:w="800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Все 12 идентификаторов присутствуют в итоговом наборе. Обязательные поля заполнены.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Характеристики</w:t>
            </w:r>
          </w:p>
        </w:tc>
        <w:tc>
          <w:tcPr>
            <w:tcW w:type="dxa" w:w="800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Данные соответствуют исходной таблице. Неподтверждённые свойства не добавлены.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Структура</w:t>
            </w:r>
          </w:p>
        </w:tc>
        <w:tc>
          <w:tcPr>
            <w:tcW w:type="dxa" w:w="800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Карточки соответствуют одобренному пилоту.</w:t>
            </w:r>
          </w:p>
        </w:tc>
      </w:tr>
      <w:tr>
        <w:trPr>
          <w:cantSplit/>
        </w:trPr>
        <w:tc>
          <w:tcPr>
            <w:tcW w:type="dxa" w:w="2160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Файлы</w:t>
            </w:r>
          </w:p>
        </w:tc>
        <w:tc>
          <w:tcPr>
            <w:tcW w:type="dxa" w:w="8006"/>
            <w:vAlign w:val="center"/>
          </w:tcPr>
          <w:p>
            <w:pPr>
              <w:keepNext w:val="0"/>
              <w:spacing w:after="0" w:before="0" w:line="254" w:lineRule="auto"/>
            </w:pPr>
            <w:r>
              <w:rPr>
                <w:rFonts w:ascii="Arial" w:hAnsi="Arial"/>
                <w:b w:val="0"/>
                <w:color w:val="000000"/>
                <w:sz w:val="20"/>
                <w:lang w:val="ru-RU"/>
              </w:rPr>
              <w:t>XLSX и DOCX открываются и содержат редактируемые данные одного набора карточек.</w:t>
            </w:r>
          </w:p>
        </w:tc>
      </w:tr>
    </w:tbl>
    <w:p>
      <w:pPr>
        <w:spacing w:after="0" w:before="0" w:line="240" w:lineRule="auto"/>
      </w:pPr>
      <w:r>
        <w:rPr>
          <w:rFonts w:ascii="Arial" w:hAnsi="Arial"/>
          <w:color w:val="000000"/>
          <w:sz w:val="6"/>
          <w:lang w:val="ru-RU"/>
        </w:rPr>
      </w:r>
    </w:p>
    <w:p>
      <w:pPr>
        <w:keepNext w:val="0"/>
      </w:pPr>
      <w:r>
        <w:rPr>
          <w:rFonts w:ascii="Arial" w:hAnsi="Arial"/>
          <w:color w:val="000000"/>
          <w:sz w:val="22"/>
          <w:lang w:val="ru-RU"/>
        </w:rPr>
        <w:t>Заказчик рассматривает каждый этап в течение двух рабочих дней после передачи. Замечание содержит идентификатор карточки, критерий и описание несоответствия.</w:t>
      </w:r>
    </w:p>
    <w:p>
      <w:pPr>
        <w:keepNext w:val="0"/>
      </w:pPr>
      <w:r>
        <w:rPr>
          <w:rFonts w:ascii="Arial" w:hAnsi="Arial"/>
          <w:color w:val="000000"/>
          <w:sz w:val="22"/>
          <w:lang w:val="ru-RU"/>
        </w:rPr>
        <w:t>Исполнитель отвечает в течение одного рабочего дня и предлагает срок исправления. Отсутствие ответа не трактуется этим примером как автоматическая приёмка.</w:t>
      </w:r>
    </w:p>
    <w:p>
      <w:pPr>
        <w:pStyle w:val="Heading1"/>
        <w:pageBreakBefore w:val="0"/>
      </w:pPr>
      <w:r>
        <w:t>6 Изменения и поддержка</w:t>
      </w:r>
    </w:p>
    <w:p>
      <w:pPr>
        <w:keepNext w:val="0"/>
      </w:pPr>
      <w:r>
        <w:rPr>
          <w:rFonts w:ascii="Arial" w:hAnsi="Arial"/>
          <w:color w:val="000000"/>
          <w:sz w:val="22"/>
          <w:lang w:val="ru-RU"/>
        </w:rPr>
        <w:t>Новые товары и изменение утверждённого состава предварительно согласуются по цене и сроку. Исправления несоответствий перечисленным критериям рассматриваются отдельно от новых задач.</w:t>
      </w:r>
    </w:p>
    <w:p>
      <w:pPr>
        <w:keepNext w:val="0"/>
      </w:pPr>
      <w:r>
        <w:rPr>
          <w:rFonts w:ascii="Arial" w:hAnsi="Arial"/>
          <w:color w:val="000000"/>
          <w:sz w:val="22"/>
          <w:lang w:val="ru-RU"/>
        </w:rPr>
        <w:t>Дополнительная поддержка после завершения не предусмотрена. Коммерческая гарантия роста продаж не устанавливается.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Открытые вопросы: </w:t>
      </w:r>
      <w:r>
        <w:rPr>
          <w:rFonts w:ascii="Arial" w:hAnsi="Arial"/>
          <w:color w:val="000000"/>
          <w:sz w:val="22"/>
          <w:lang w:val="ru-RU"/>
        </w:rPr>
        <w:t>в пределах учебной модели отсутствуют. В реальном предложении здесь указывают все несогласованные условия.</w:t>
      </w:r>
    </w:p>
    <w:p>
      <w:pPr>
        <w:keepNext w:val="0"/>
      </w:pPr>
      <w:r>
        <w:rPr>
          <w:rFonts w:ascii="Arial" w:hAnsi="Arial"/>
          <w:b/>
          <w:color w:val="000000"/>
          <w:sz w:val="22"/>
          <w:lang w:val="ru-RU"/>
        </w:rPr>
        <w:t xml:space="preserve">История документа: </w:t>
      </w:r>
      <w:r>
        <w:rPr>
          <w:rFonts w:ascii="Arial" w:hAnsi="Arial"/>
          <w:color w:val="000000"/>
          <w:sz w:val="22"/>
          <w:lang w:val="ru-RU"/>
        </w:rPr>
        <w:t>первая версия; история изменений отсутствует.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37" w:right="1037" w:bottom="979" w:left="1037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rial" w:hAnsi="Arial"/>
        <w:color w:val="62645F"/>
        <w:sz w:val="16"/>
        <w:lang w:val="ru-RU"/>
      </w:rPr>
      <w:t>ВНИКЛИ  •  Шаблон v1  •  28 сентября 2026</w:t>
    </w:r>
    <w:r>
      <w:rPr>
        <w:rFonts w:ascii="Arial" w:hAnsi="Arial"/>
        <w:color w:val="62645F"/>
        <w:sz w:val="16"/>
        <w:lang w:val="ru-RU"/>
      </w:rPr>
      <w:t xml:space="preserve">    •    Страница </w:t>
    </w:r>
    <w:fldSimple w:instr="PAGE">
      <w:r>
        <w:rPr>
          <w:sz w:val="16"/>
          <w:color w:val="62645F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color w:val="000000"/>
        <w:sz w:val="20"/>
        <w:lang w:val="ru-RU"/>
      </w:rPr>
      <w:t>ВНИКЛИ</w:t>
    </w:r>
    <w:r>
      <w:rPr>
        <w:rFonts w:ascii="Arial" w:hAnsi="Arial"/>
        <w:color w:val="000000"/>
        <w:sz w:val="18"/>
        <w:lang w:val="ru-RU"/>
      </w:rPr>
      <w:t xml:space="preserve">    УЧЕБНЫЙ ПРИМЕР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7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
на подготовку карточек товаров</dc:title>
  <dc:subject>УЧЕБНЫЙ ПРИМЕР</dc:subject>
  <dc:creator>ВНИКЛИ</dc:creator>
  <cp:keywords>КП, коммерческое предложение, шаблон, услуга, проект</cp:keywords>
  <dc:description/>
  <cp:lastModifiedBy>ВНИКЛИ</cp:lastModifiedBy>
  <cp:revision>1</cp:revision>
  <dcterms:created xsi:type="dcterms:W3CDTF">2026-09-28T00:00:00Z</dcterms:created>
  <dcterms:modified xsi:type="dcterms:W3CDTF">2026-09-28T00:00:00Z</dcterms:modified>
  <cp:category/>
  <dc:language>ru-RU</dc:language>
</cp:coreProperties>
</file>